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6"/>
          <w:szCs w:val="32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700" cy="638175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8229810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694" cy="6381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36"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25 декабря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4 г.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№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681-т</w:t>
      </w:r>
      <w:r>
        <w:rPr>
          <w:rFonts w:ascii="Liberation Sans" w:hAnsi="Liberation Sans" w:eastAsia="Liberation Serif" w:cs="Liberation Sans"/>
          <w:color w:val="0000ff"/>
          <w:sz w:val="28"/>
        </w:rPr>
      </w:r>
      <w:r/>
    </w:p>
    <w:p>
      <w:pPr>
        <w:pStyle w:val="834"/>
        <w:ind w:right="228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2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2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 в приложения №№ 1, 2 к приказу департамента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Ямало-Ненецкого автономного округа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от 19 декабря 2023 года № 643-т </w:t>
      </w:r>
      <w:r/>
    </w:p>
    <w:p>
      <w:pPr>
        <w:pStyle w:val="826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color w:val="000000" w:themeColor="text1"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22 октября 2012 года № 1075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«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 ценообразовании </w:t>
        <w:br/>
        <w:t xml:space="preserve">в сфере теплоснабжения»,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</w:t>
        <w:br/>
        <w:t xml:space="preserve">«О департаменте тарифной политики, энергетики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округа»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              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изменение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, котор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вноси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тся </w:t>
        <w:br/>
        <w:t xml:space="preserve">в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приложения №№ 1, 2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к приказу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департамента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Ямало-Ненецкого автономного округа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от 19 декабря 2023 года № 643-т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Об установлении тарифов на тепловую энергию (мощность), производимую акционерным обществом «Харп-Энерго-Газ» и поставляемую потребителям поселка городского типа Харп городского округа город Лабытнанги Ямало-Ненецкого автономного округа, и долгосрочных пара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метров регулирования тарифов на 2024 - 2028 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firstLine="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Д.Н. Афанасьев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УТВЕРЖДЕНО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 энергетики и  жилищно-коммунального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25 декабря 2024 года № 681-т</w:t>
      </w:r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pStyle w:val="831"/>
        <w:ind w:firstLine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ИЗМЕНЕНИЕ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,</w:t>
      </w:r>
      <w:r>
        <w:rPr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котор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е внос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и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тся в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приложения №№ 1, 2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к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приказ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у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департамента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Ямало-Ненецкого автономн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ого округа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от 19 декабря 2023 года № 643-т</w:t>
      </w:r>
      <w:r>
        <w:rPr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left="0" w:firstLine="708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erif" w:cs="Liberation Sans"/>
          <w:sz w:val="24"/>
          <w:highlight w:val="none"/>
        </w:rPr>
        <w:t xml:space="preserve">Приложения №№ 1, 2 изложить в следующей редакции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: 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pStyle w:val="848"/>
        <w:ind w:left="9923" w:firstLine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«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№ 1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 w:firstLine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48"/>
        <w:ind w:left="9923" w:firstLine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48"/>
        <w:ind w:left="9923" w:firstLine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48"/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2023 года № 643-т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48"/>
        <w:ind w:left="9923" w:firstLine="0"/>
      </w:pPr>
      <w:r>
        <w:rPr>
          <w:rFonts w:ascii="Liberation Sans" w:hAnsi="Liberation Sans" w:cs="Liberation Sans"/>
          <w:sz w:val="24"/>
          <w:szCs w:val="24"/>
          <w:highlight w:val="none"/>
        </w:rPr>
        <w:t xml:space="preserve">(в редакции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приказа департамента тарифной политики, энергетики и жилищно-коммунального комплекса </w:t>
      </w:r>
      <w:r/>
    </w:p>
    <w:p>
      <w:pPr>
        <w:pStyle w:val="848"/>
        <w:ind w:left="9923" w:firstLine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25 декабря 2024 года № 681-т</w:t>
      </w:r>
      <w:r>
        <w:rPr>
          <w:rFonts w:ascii="Liberation Sans" w:hAnsi="Liberation Sans" w:cs="Liberation Sans"/>
          <w:sz w:val="24"/>
          <w:szCs w:val="24"/>
          <w:highlight w:val="none"/>
        </w:rPr>
        <w:t xml:space="preserve">)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jc w:val="right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sz w:val="24"/>
          <w:szCs w:val="24"/>
        </w:rPr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Тарифы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на тепловую энергию (мощность), производимую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акционерным обществом «Харп-Энерго-Газ»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4"/>
          <w:szCs w:val="24"/>
        </w:rPr>
        <w:t xml:space="preserve"> </w:t>
        <w:br/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4"/>
          <w:szCs w:val="24"/>
        </w:rPr>
        <w:t xml:space="preserve">и поставляемую потребителям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поселка городского типа Харп городского округа город Лабытнанги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2028 годы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sz w:val="24"/>
          <w:szCs w:val="24"/>
          <w:highlight w:val="none"/>
        </w:rPr>
        <w:t xml:space="preserve">Таблица</w:t>
      </w:r>
      <w:r/>
    </w:p>
    <w:tbl>
      <w:tblPr>
        <w:tblW w:w="5000" w:type="pct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5"/>
        <w:gridCol w:w="2425"/>
        <w:gridCol w:w="2010"/>
        <w:gridCol w:w="1169"/>
        <w:gridCol w:w="2028"/>
        <w:gridCol w:w="1052"/>
        <w:gridCol w:w="864"/>
        <w:gridCol w:w="1152"/>
        <w:gridCol w:w="981"/>
        <w:gridCol w:w="979"/>
        <w:gridCol w:w="192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Вид тарифа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Год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Вода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6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2,5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7,0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7,0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13,0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5" w:type="dxa"/>
            <w:vAlign w:val="center"/>
            <w:textDirection w:val="lrTb"/>
            <w:noWrap w:val="false"/>
          </w:tcPr>
          <w:p>
            <w:pPr>
              <w:pStyle w:val="848"/>
              <w:contextualSpacing/>
              <w:jc w:val="center"/>
              <w:spacing w:before="0" w:after="0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cs="Liberation Sans"/>
                <w:bCs/>
                <w:sz w:val="21"/>
                <w:szCs w:val="21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  <w:t xml:space="preserve">Акционерное общество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  <w:t xml:space="preserve">«Харп-Энерго-Газ»</w:t>
            </w:r>
            <w:r>
              <w:rPr>
                <w:rFonts w:ascii="Liberation Sans" w:hAnsi="Liberation Sans" w:cs="Liberation Sans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5396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6029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6029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7838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6736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7526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7526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8409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8409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9395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pStyle w:val="848"/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48"/>
        <w:ind w:left="9923" w:firstLine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№ 2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pStyle w:val="848"/>
        <w:ind w:left="9923" w:firstLine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48"/>
        <w:ind w:left="9923" w:firstLine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48"/>
        <w:ind w:left="9923" w:firstLine="0"/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2023 года № 643-т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pStyle w:val="848"/>
        <w:ind w:left="9923" w:firstLine="0"/>
      </w:pPr>
      <w:r>
        <w:rPr>
          <w:rFonts w:ascii="Liberation Sans" w:hAnsi="Liberation Sans" w:cs="Liberation Sans"/>
          <w:sz w:val="24"/>
          <w:szCs w:val="24"/>
          <w:highlight w:val="none"/>
        </w:rPr>
        <w:t xml:space="preserve">(в редакции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приказа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48"/>
        <w:ind w:left="9923" w:firstLine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48"/>
        <w:ind w:left="9923" w:firstLine="0"/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25 декабря 2024 года № 681-т</w:t>
      </w:r>
      <w:r>
        <w:rPr>
          <w:rFonts w:ascii="Liberation Sans" w:hAnsi="Liberation Sans" w:cs="Liberation Sans"/>
          <w:sz w:val="24"/>
          <w:szCs w:val="24"/>
          <w:highlight w:val="none"/>
        </w:rPr>
        <w:t xml:space="preserve">)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 w:firstLine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</w:rPr>
      </w:r>
      <w:r>
        <w:rPr>
          <w:rFonts w:ascii="Liberation Sans" w:hAnsi="Liberation Sans" w:eastAsia="Liberation Serif" w:cs="Liberation Sans"/>
          <w:b w:val="0"/>
          <w:sz w:val="24"/>
        </w:rPr>
        <w:t xml:space="preserve">Льготные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тарифы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на тепловую энергию (мощность),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производимую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акционерным обществом «Харп-Энерго-Газ»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4"/>
          <w:szCs w:val="24"/>
        </w:rPr>
        <w:t xml:space="preserve"> </w:t>
        <w:br/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4"/>
          <w:szCs w:val="24"/>
        </w:rPr>
        <w:t xml:space="preserve">и поставляемую потребителям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поселка городского типа Харп городского округа город Лабытнанги 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2028 годы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highlight w:val="none"/>
        </w:rPr>
      </w:r>
      <w:r/>
    </w:p>
    <w:p>
      <w:pPr>
        <w:ind w:left="0" w:right="0" w:firstLine="0"/>
        <w:jc w:val="right"/>
        <w:spacing w:before="0" w:after="0"/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  <w:t xml:space="preserve">Таблица </w:t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403"/>
        <w:gridCol w:w="2030"/>
        <w:gridCol w:w="1186"/>
        <w:gridCol w:w="2013"/>
        <w:gridCol w:w="1103"/>
        <w:gridCol w:w="841"/>
        <w:gridCol w:w="1178"/>
        <w:gridCol w:w="1014"/>
        <w:gridCol w:w="923"/>
        <w:gridCol w:w="1868"/>
      </w:tblGrid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№ п/п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1,2 до 2,5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2,5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до 7,0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7,0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до 13,0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свыше 13,0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Для потребителей, в случае отсутствия дифференциации тарифов по схеме подключения&lt;*&gt;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cs="Liberation Sans"/>
                <w:bCs/>
                <w:sz w:val="21"/>
                <w:szCs w:val="21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  <w:t xml:space="preserve">Акционерное общество </w:t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  <w:t xml:space="preserve">«Харп-Энерго-Газ»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1473,58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3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1591,47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1591,47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1734,70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Население 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&lt;**&gt;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(тарифы указываются с учетом НДС)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&lt;***&gt;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1768,30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1909,76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1909,76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2081,64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pPr>
        <w:ind w:left="0" w:right="-28" w:firstLine="709"/>
        <w:jc w:val="both"/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&gt;</w:t>
      </w:r>
      <w:r>
        <w:rPr>
          <w:rFonts w:ascii="Liberation Sans" w:hAnsi="Liberation Sans" w:eastAsia="Liberation Serif" w:cs="Liberation Sans"/>
          <w:color w:val="ff0000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потребители тепловой энергии (мощности), имеющие право на льготы, указанные в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пунктах 2 - 4</w:t>
      </w:r>
      <w:hyperlink r:id="rId10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18"/>
            <w:szCs w:val="18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8"/>
          <w:szCs w:val="18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18"/>
          <w:szCs w:val="18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8"/>
          <w:szCs w:val="18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.</w:t>
      </w:r>
      <w:r>
        <w:rPr>
          <w:rFonts w:ascii="Liberation Sans" w:hAnsi="Liberation Sans" w:cs="Liberation Sans"/>
          <w:sz w:val="18"/>
          <w:szCs w:val="18"/>
        </w:rPr>
      </w:r>
      <w:r/>
    </w:p>
    <w:p>
      <w:pPr>
        <w:ind w:left="0" w:right="-28" w:firstLine="709"/>
        <w:jc w:val="both"/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&lt;**&gt; потребители тепловой энергии (мощности), имеющие право на льготы,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в пункте 1</w:t>
      </w:r>
      <w:hyperlink r:id="rId11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18"/>
            <w:szCs w:val="18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8"/>
          <w:szCs w:val="18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18"/>
          <w:szCs w:val="18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8"/>
          <w:szCs w:val="18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 Закона Ямало-Ненецкого автономного округа </w:t>
        <w:br/>
        <w:t xml:space="preserve">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</w:t>
        <w:br/>
        <w:t xml:space="preserve">с твердыми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ию выпадающих доходов организациям коммунального комплекса».</w:t>
      </w:r>
      <w:r>
        <w:rPr>
          <w:rFonts w:ascii="Liberation Sans" w:hAnsi="Liberation Sans" w:eastAsia="Liberation Serif" w:cs="Liberation Sans"/>
          <w:sz w:val="18"/>
          <w:szCs w:val="18"/>
        </w:rPr>
      </w:r>
      <w:r/>
    </w:p>
    <w:p>
      <w:pPr>
        <w:pStyle w:val="831"/>
        <w:ind w:left="0" w:right="-172" w:firstLine="709"/>
        <w:jc w:val="both"/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&lt;***&gt; Выделяется в целях реализации </w:t>
      </w:r>
      <w:hyperlink r:id="rId12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Налогового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кодекса Российской Федерации (часть вторая). </w:t>
      </w:r>
      <w:r>
        <w:rPr>
          <w:rFonts w:ascii="Liberation Sans" w:hAnsi="Liberation Sans" w:cs="Liberation Sans"/>
          <w:sz w:val="18"/>
          <w:szCs w:val="18"/>
        </w:rPr>
      </w:r>
      <w:r/>
    </w:p>
    <w:p>
      <w:pPr>
        <w:pStyle w:val="831"/>
        <w:ind w:left="0" w:right="-28" w:firstLine="709"/>
        <w:jc w:val="both"/>
      </w:pPr>
      <w:r>
        <w:rPr>
          <w:rFonts w:ascii="Liberation Sans" w:hAnsi="Liberation Sans" w:eastAsia="Liberation Serif" w:cs="Liberation Sans"/>
          <w:sz w:val="18"/>
          <w:szCs w:val="18"/>
        </w:rPr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ния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(теплоснабжения).</w:t>
      </w:r>
      <w:r>
        <w:rPr>
          <w:rFonts w:ascii="Liberation Sans" w:hAnsi="Liberation Sans" w:eastAsia="Liberation Serif" w:cs="Liberation Sans"/>
          <w:sz w:val="18"/>
          <w:szCs w:val="18"/>
        </w:rPr>
        <w:tab/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                                                                                     </w:t>
        <w:tab/>
        <w:tab/>
        <w:tab/>
        <w:tab/>
        <w:tab/>
        <w:tab/>
        <w:tab/>
        <w:tab/>
        <w:tab/>
        <w:tab/>
        <w:tab/>
        <w:tab/>
      </w:r>
      <w:r>
        <w:rPr>
          <w:rFonts w:ascii="Liberation Sans" w:hAnsi="Liberation Sans" w:cs="Liberation Sans"/>
          <w:sz w:val="18"/>
          <w:szCs w:val="18"/>
        </w:rPr>
      </w:r>
      <w:r/>
    </w:p>
    <w:p>
      <w:pPr>
        <w:pStyle w:val="826"/>
        <w:contextualSpacing/>
        <w:ind w:left="13452" w:right="-172" w:firstLine="708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erif" w:cs="Liberation Sans"/>
          <w:color w:val="ffffff"/>
        </w:rPr>
        <w:t xml:space="preserve">         </w:t>
      </w:r>
      <w:r>
        <w:rPr>
          <w:rFonts w:ascii="Liberation Sans" w:hAnsi="Liberation Sans" w:eastAsia="Liberation Serif" w:cs="Liberation Sans"/>
        </w:rPr>
        <w:t xml:space="preserve">».</w:t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6838" w:h="11906" w:orient="landscape"/>
      <w:pgMar w:top="567" w:right="850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720" w:hanging="360"/>
      </w:pPr>
      <w:rPr>
        <w:rFonts w:ascii="PT Astra Serif" w:hAnsi="PT Astra Serif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7200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link w:val="648"/>
    <w:uiPriority w:val="9"/>
    <w:rPr>
      <w:rFonts w:ascii="Arial" w:hAnsi="Arial" w:eastAsia="Arial" w:cs="Arial"/>
      <w:sz w:val="40"/>
      <w:szCs w:val="40"/>
    </w:rPr>
  </w:style>
  <w:style w:type="paragraph" w:styleId="650">
    <w:name w:val="Heading 2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1">
    <w:name w:val="Heading 2 Char"/>
    <w:link w:val="650"/>
    <w:uiPriority w:val="9"/>
    <w:rPr>
      <w:rFonts w:ascii="Arial" w:hAnsi="Arial" w:eastAsia="Arial" w:cs="Arial"/>
      <w:sz w:val="34"/>
    </w:rPr>
  </w:style>
  <w:style w:type="paragraph" w:styleId="652">
    <w:name w:val="Heading 3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3">
    <w:name w:val="Heading 3 Char"/>
    <w:link w:val="652"/>
    <w:uiPriority w:val="9"/>
    <w:rPr>
      <w:rFonts w:ascii="Arial" w:hAnsi="Arial" w:eastAsia="Arial" w:cs="Arial"/>
      <w:sz w:val="30"/>
      <w:szCs w:val="30"/>
    </w:rPr>
  </w:style>
  <w:style w:type="paragraph" w:styleId="654">
    <w:name w:val="Heading 4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5">
    <w:name w:val="Heading 4 Char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7">
    <w:name w:val="Heading 5 Char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9">
    <w:name w:val="Heading 6 Char"/>
    <w:link w:val="65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List Paragraph"/>
    <w:uiPriority w:val="34"/>
    <w:qFormat/>
    <w:pPr>
      <w:contextualSpacing/>
      <w:ind w:left="720"/>
    </w:pPr>
  </w:style>
  <w:style w:type="paragraph" w:styleId="667">
    <w:name w:val="No Spacing"/>
    <w:uiPriority w:val="1"/>
    <w:qFormat/>
    <w:pPr>
      <w:spacing w:before="0" w:after="0" w:line="240" w:lineRule="auto"/>
    </w:pPr>
  </w:style>
  <w:style w:type="paragraph" w:styleId="668">
    <w:name w:val="Title"/>
    <w:link w:val="6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9">
    <w:name w:val="Title Char"/>
    <w:link w:val="668"/>
    <w:uiPriority w:val="10"/>
    <w:rPr>
      <w:sz w:val="48"/>
      <w:szCs w:val="48"/>
    </w:rPr>
  </w:style>
  <w:style w:type="paragraph" w:styleId="670">
    <w:name w:val="Subtitle"/>
    <w:link w:val="671"/>
    <w:uiPriority w:val="11"/>
    <w:qFormat/>
    <w:pPr>
      <w:spacing w:before="200" w:after="200"/>
    </w:pPr>
    <w:rPr>
      <w:sz w:val="24"/>
      <w:szCs w:val="24"/>
    </w:rPr>
  </w:style>
  <w:style w:type="character" w:styleId="671">
    <w:name w:val="Subtitle Char"/>
    <w:link w:val="670"/>
    <w:uiPriority w:val="11"/>
    <w:rPr>
      <w:sz w:val="24"/>
      <w:szCs w:val="24"/>
    </w:rPr>
  </w:style>
  <w:style w:type="paragraph" w:styleId="672">
    <w:name w:val="Quote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paragraph" w:styleId="676">
    <w:name w:val="Header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Header Char"/>
    <w:link w:val="676"/>
    <w:uiPriority w:val="99"/>
  </w:style>
  <w:style w:type="paragraph" w:styleId="678">
    <w:name w:val="Footer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Footer Char"/>
    <w:link w:val="678"/>
    <w:uiPriority w:val="99"/>
  </w:style>
  <w:style w:type="paragraph" w:styleId="68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1">
    <w:name w:val="Caption Char"/>
    <w:basedOn w:val="680"/>
    <w:link w:val="678"/>
    <w:uiPriority w:val="99"/>
  </w:style>
  <w:style w:type="table" w:styleId="6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8">
    <w:name w:val="Hyperlink"/>
    <w:uiPriority w:val="99"/>
    <w:unhideWhenUsed/>
    <w:rPr>
      <w:color w:val="0000ff" w:themeColor="hyperlink"/>
      <w:u w:val="single"/>
    </w:rPr>
  </w:style>
  <w:style w:type="paragraph" w:styleId="809">
    <w:name w:val="footnote text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uiPriority w:val="99"/>
    <w:unhideWhenUsed/>
    <w:rPr>
      <w:vertAlign w:val="superscript"/>
    </w:rPr>
  </w:style>
  <w:style w:type="paragraph" w:styleId="812">
    <w:name w:val="endnote text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uiPriority w:val="99"/>
    <w:semiHidden/>
    <w:unhideWhenUsed/>
    <w:rPr>
      <w:vertAlign w:val="superscript"/>
    </w:rPr>
  </w:style>
  <w:style w:type="paragraph" w:styleId="815">
    <w:name w:val="toc 1"/>
    <w:uiPriority w:val="39"/>
    <w:unhideWhenUsed/>
    <w:pPr>
      <w:ind w:left="0" w:right="0" w:firstLine="0"/>
      <w:spacing w:after="57"/>
    </w:pPr>
  </w:style>
  <w:style w:type="paragraph" w:styleId="816">
    <w:name w:val="toc 2"/>
    <w:uiPriority w:val="39"/>
    <w:unhideWhenUsed/>
    <w:pPr>
      <w:ind w:left="283" w:right="0" w:firstLine="0"/>
      <w:spacing w:after="57"/>
    </w:pPr>
  </w:style>
  <w:style w:type="paragraph" w:styleId="817">
    <w:name w:val="toc 3"/>
    <w:uiPriority w:val="39"/>
    <w:unhideWhenUsed/>
    <w:pPr>
      <w:ind w:left="567" w:right="0" w:firstLine="0"/>
      <w:spacing w:after="57"/>
    </w:pPr>
  </w:style>
  <w:style w:type="paragraph" w:styleId="818">
    <w:name w:val="toc 4"/>
    <w:uiPriority w:val="39"/>
    <w:unhideWhenUsed/>
    <w:pPr>
      <w:ind w:left="850" w:right="0" w:firstLine="0"/>
      <w:spacing w:after="57"/>
    </w:pPr>
  </w:style>
  <w:style w:type="paragraph" w:styleId="819">
    <w:name w:val="toc 5"/>
    <w:uiPriority w:val="39"/>
    <w:unhideWhenUsed/>
    <w:pPr>
      <w:ind w:left="1134" w:right="0" w:firstLine="0"/>
      <w:spacing w:after="57"/>
    </w:pPr>
  </w:style>
  <w:style w:type="paragraph" w:styleId="820">
    <w:name w:val="toc 6"/>
    <w:uiPriority w:val="39"/>
    <w:unhideWhenUsed/>
    <w:pPr>
      <w:ind w:left="1417" w:right="0" w:firstLine="0"/>
      <w:spacing w:after="57"/>
    </w:pPr>
  </w:style>
  <w:style w:type="paragraph" w:styleId="821">
    <w:name w:val="toc 7"/>
    <w:uiPriority w:val="39"/>
    <w:unhideWhenUsed/>
    <w:pPr>
      <w:ind w:left="1701" w:right="0" w:firstLine="0"/>
      <w:spacing w:after="57"/>
    </w:pPr>
  </w:style>
  <w:style w:type="paragraph" w:styleId="822">
    <w:name w:val="toc 8"/>
    <w:uiPriority w:val="39"/>
    <w:unhideWhenUsed/>
    <w:pPr>
      <w:ind w:left="1984" w:right="0" w:firstLine="0"/>
      <w:spacing w:after="57"/>
    </w:pPr>
  </w:style>
  <w:style w:type="paragraph" w:styleId="823">
    <w:name w:val="toc 9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uiPriority w:val="99"/>
    <w:unhideWhenUsed/>
    <w:pPr>
      <w:spacing w:after="0" w:afterAutospacing="0"/>
    </w:pPr>
  </w:style>
  <w:style w:type="paragraph" w:styleId="826">
    <w:name w:val="Обычный"/>
    <w:next w:val="826"/>
    <w:link w:val="826"/>
    <w:rPr>
      <w:sz w:val="24"/>
      <w:szCs w:val="24"/>
      <w:lang w:val="ru-RU" w:eastAsia="ru-RU" w:bidi="ar-SA"/>
    </w:rPr>
  </w:style>
  <w:style w:type="character" w:styleId="827">
    <w:name w:val="Основной шрифт абзаца"/>
    <w:next w:val="827"/>
    <w:link w:val="826"/>
    <w:semiHidden/>
  </w:style>
  <w:style w:type="table" w:styleId="828">
    <w:name w:val="Обычная таблица"/>
    <w:next w:val="828"/>
    <w:link w:val="826"/>
    <w:semiHidden/>
    <w:tblPr/>
  </w:style>
  <w:style w:type="numbering" w:styleId="829">
    <w:name w:val="Нет списка"/>
    <w:next w:val="829"/>
    <w:link w:val="826"/>
    <w:semiHidden/>
  </w:style>
  <w:style w:type="paragraph" w:styleId="830">
    <w:name w:val="Знак Знак Знак Знак"/>
    <w:basedOn w:val="826"/>
    <w:next w:val="830"/>
    <w:link w:val="82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31">
    <w:name w:val="ConsPlusNormal"/>
    <w:next w:val="831"/>
    <w:link w:val="826"/>
    <w:pPr>
      <w:ind w:firstLine="720"/>
    </w:pPr>
    <w:rPr>
      <w:rFonts w:ascii="Arial" w:hAnsi="Arial"/>
      <w:lang w:val="ru-RU" w:eastAsia="ru-RU" w:bidi="ar-SA"/>
    </w:rPr>
  </w:style>
  <w:style w:type="paragraph" w:styleId="832">
    <w:name w:val="ConsPlusCell"/>
    <w:next w:val="832"/>
    <w:link w:val="826"/>
    <w:pPr>
      <w:widowControl w:val="off"/>
    </w:pPr>
    <w:rPr>
      <w:rFonts w:ascii="Arial" w:hAnsi="Arial"/>
      <w:lang w:val="ru-RU" w:eastAsia="ru-RU" w:bidi="ar-SA"/>
    </w:rPr>
  </w:style>
  <w:style w:type="table" w:styleId="833">
    <w:name w:val="Сетка таблицы"/>
    <w:basedOn w:val="828"/>
    <w:next w:val="833"/>
    <w:link w:val="826"/>
    <w:tblPr/>
  </w:style>
  <w:style w:type="paragraph" w:styleId="834">
    <w:name w:val="Основной текст с отступом 2"/>
    <w:basedOn w:val="826"/>
    <w:next w:val="834"/>
    <w:link w:val="836"/>
    <w:pPr>
      <w:ind w:firstLine="720"/>
      <w:jc w:val="both"/>
    </w:pPr>
    <w:rPr>
      <w:sz w:val="28"/>
      <w:lang w:val="en-US" w:eastAsia="en-US"/>
    </w:rPr>
  </w:style>
  <w:style w:type="paragraph" w:styleId="835">
    <w:name w:val="ConsPlusNonformat"/>
    <w:next w:val="835"/>
    <w:link w:val="826"/>
    <w:rPr>
      <w:rFonts w:ascii="Courier New" w:hAnsi="Courier New"/>
      <w:lang w:val="ru-RU" w:eastAsia="ru-RU" w:bidi="ar-SA"/>
    </w:rPr>
  </w:style>
  <w:style w:type="character" w:styleId="836">
    <w:name w:val="Основной текст с отступом 2 Знак"/>
    <w:next w:val="836"/>
    <w:link w:val="834"/>
    <w:rPr>
      <w:sz w:val="28"/>
      <w:szCs w:val="24"/>
    </w:rPr>
  </w:style>
  <w:style w:type="paragraph" w:styleId="837">
    <w:name w:val="Верхний колонтитул"/>
    <w:basedOn w:val="826"/>
    <w:next w:val="837"/>
    <w:link w:val="83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38">
    <w:name w:val="Верхний колонтитул Знак"/>
    <w:next w:val="838"/>
    <w:link w:val="837"/>
    <w:rPr>
      <w:sz w:val="24"/>
      <w:szCs w:val="24"/>
    </w:rPr>
  </w:style>
  <w:style w:type="paragraph" w:styleId="839">
    <w:name w:val="Нижний колонтитул"/>
    <w:basedOn w:val="826"/>
    <w:next w:val="839"/>
    <w:link w:val="84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0">
    <w:name w:val="Нижний колонтитул Знак"/>
    <w:next w:val="840"/>
    <w:link w:val="839"/>
    <w:rPr>
      <w:sz w:val="24"/>
      <w:szCs w:val="24"/>
    </w:rPr>
  </w:style>
  <w:style w:type="paragraph" w:styleId="841">
    <w:name w:val="ConsPlusTitle"/>
    <w:next w:val="841"/>
    <w:link w:val="82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42">
    <w:name w:val="Основной текст с отступом"/>
    <w:basedOn w:val="826"/>
    <w:next w:val="842"/>
    <w:link w:val="843"/>
    <w:pPr>
      <w:ind w:left="283"/>
      <w:spacing w:after="120"/>
    </w:pPr>
    <w:rPr>
      <w:lang w:val="en-US" w:eastAsia="en-US"/>
    </w:rPr>
  </w:style>
  <w:style w:type="character" w:styleId="843">
    <w:name w:val="Основной текст с отступом Знак"/>
    <w:next w:val="843"/>
    <w:link w:val="842"/>
    <w:rPr>
      <w:sz w:val="24"/>
      <w:szCs w:val="24"/>
    </w:rPr>
  </w:style>
  <w:style w:type="paragraph" w:styleId="844">
    <w:name w:val="Текст выноски"/>
    <w:basedOn w:val="826"/>
    <w:next w:val="844"/>
    <w:link w:val="845"/>
    <w:rPr>
      <w:rFonts w:ascii="Tahoma" w:hAnsi="Tahoma"/>
      <w:sz w:val="16"/>
      <w:szCs w:val="16"/>
      <w:lang w:val="en-US" w:eastAsia="en-US"/>
    </w:rPr>
  </w:style>
  <w:style w:type="character" w:styleId="845">
    <w:name w:val="Текст выноски Знак"/>
    <w:next w:val="845"/>
    <w:link w:val="844"/>
    <w:rPr>
      <w:rFonts w:ascii="Tahoma" w:hAnsi="Tahoma"/>
      <w:sz w:val="16"/>
      <w:szCs w:val="16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paragraph" w:styleId="848" w:default="1">
    <w:name w:val="Normal"/>
    <w:qFormat/>
  </w:style>
  <w:style w:type="table" w:styleId="84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BC4FDCB53AB2EC8B14B6B3AE8120CF99E618AD28C81A94C69A1C057EC095CEE9BB73B2CF9B88F0D7DA4765HEQ0F" TargetMode="External"/><Relationship Id="rId11" Type="http://schemas.openxmlformats.org/officeDocument/2006/relationships/hyperlink" Target="consultantplus://offline/ref=BC4FDCB53AB2EC8B14B6B3AE8120CF99E618AD28C81A94C69A1C057EC095CEE9BB73B2CF9B88F0D7DA4765HEQFF" TargetMode="External"/><Relationship Id="rId12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28</cp:revision>
  <dcterms:modified xsi:type="dcterms:W3CDTF">2024-12-25T15:19:50Z</dcterms:modified>
</cp:coreProperties>
</file>